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cs="宋体"/>
          <w:color w:val="auto"/>
          <w:sz w:val="52"/>
          <w:szCs w:val="52"/>
          <w:lang w:val="en-US" w:eastAsia="zh-CN"/>
        </w:rPr>
      </w:pPr>
      <w:r>
        <w:rPr>
          <w:rFonts w:hint="eastAsia" w:ascii="宋体" w:hAnsi="宋体" w:eastAsia="宋体" w:cs="宋体"/>
          <w:color w:val="auto"/>
          <w:sz w:val="52"/>
          <w:szCs w:val="52"/>
          <w:lang w:val="en-US" w:eastAsia="zh-CN"/>
        </w:rPr>
        <w:t>202</w:t>
      </w:r>
      <w:r>
        <w:rPr>
          <w:rFonts w:hint="eastAsia" w:ascii="宋体" w:hAnsi="宋体" w:cs="宋体"/>
          <w:color w:val="auto"/>
          <w:sz w:val="52"/>
          <w:szCs w:val="52"/>
          <w:lang w:val="en-US" w:eastAsia="zh-CN"/>
        </w:rPr>
        <w:t>4</w:t>
      </w:r>
      <w:r>
        <w:rPr>
          <w:rFonts w:hint="eastAsia" w:ascii="宋体" w:hAnsi="宋体" w:eastAsia="宋体" w:cs="宋体"/>
          <w:color w:val="auto"/>
          <w:sz w:val="52"/>
          <w:szCs w:val="52"/>
          <w:lang w:val="en-US" w:eastAsia="zh-CN"/>
        </w:rPr>
        <w:t>年</w:t>
      </w:r>
      <w:r>
        <w:rPr>
          <w:rFonts w:hint="eastAsia" w:ascii="宋体" w:hAnsi="宋体" w:cs="宋体"/>
          <w:color w:val="auto"/>
          <w:sz w:val="52"/>
          <w:szCs w:val="52"/>
          <w:lang w:val="en-US" w:eastAsia="zh-CN"/>
        </w:rPr>
        <w:t>海口市纪委监委</w:t>
      </w:r>
    </w:p>
    <w:p>
      <w:pPr>
        <w:jc w:val="center"/>
        <w:rPr>
          <w:rFonts w:hint="eastAsia" w:ascii="宋体" w:hAnsi="宋体" w:eastAsia="宋体" w:cs="宋体"/>
          <w:color w:val="auto"/>
          <w:sz w:val="52"/>
          <w:szCs w:val="52"/>
        </w:rPr>
      </w:pPr>
      <w:r>
        <w:rPr>
          <w:rFonts w:hint="eastAsia" w:ascii="宋体" w:hAnsi="宋体" w:cs="宋体"/>
          <w:color w:val="auto"/>
          <w:sz w:val="52"/>
          <w:szCs w:val="52"/>
          <w:lang w:val="en-US" w:eastAsia="zh-CN"/>
        </w:rPr>
        <w:t>综合服务保障中心单位</w:t>
      </w:r>
      <w:r>
        <w:rPr>
          <w:rFonts w:hint="eastAsia" w:ascii="宋体" w:hAnsi="宋体" w:eastAsia="宋体" w:cs="宋体"/>
          <w:color w:val="auto"/>
          <w:sz w:val="52"/>
          <w:szCs w:val="52"/>
        </w:rPr>
        <w:t>预算</w:t>
      </w: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rPr>
          <w:color w:val="auto"/>
          <w:sz w:val="84"/>
          <w:szCs w:val="84"/>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6"/>
        <w:numPr>
          <w:ilvl w:val="0"/>
          <w:numId w:val="1"/>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rPr>
        <w:t>概况</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主要职能</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部门预算单位构成</w:t>
      </w:r>
    </w:p>
    <w:p>
      <w:pPr>
        <w:pStyle w:val="6"/>
        <w:numPr>
          <w:ilvl w:val="0"/>
          <w:numId w:val="1"/>
        </w:numPr>
        <w:wordWrap/>
        <w:adjustRightInd/>
        <w:snapToGrid/>
        <w:spacing w:before="0" w:after="0" w:line="560" w:lineRule="exact"/>
        <w:ind w:right="0" w:firstLineChars="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部门收支总表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部门收入总表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部门支出总表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wordWrap/>
        <w:adjustRightInd/>
        <w:snapToGrid/>
        <w:spacing w:before="0" w:after="0" w:line="560" w:lineRule="exact"/>
        <w:ind w:left="1320" w:right="0" w:firstLine="0" w:firstLineChars="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pStyle w:val="6"/>
        <w:numPr>
          <w:ilvl w:val="0"/>
          <w:numId w:val="4"/>
        </w:numPr>
        <w:wordWrap/>
        <w:adjustRightInd/>
        <w:snapToGrid/>
        <w:spacing w:before="0" w:after="0" w:line="560" w:lineRule="exact"/>
        <w:ind w:right="0" w:firstLineChars="0"/>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rPr>
        <w:t>概况</w:t>
      </w:r>
    </w:p>
    <w:p>
      <w:pPr>
        <w:wordWrap/>
        <w:adjustRightInd/>
        <w:snapToGrid/>
        <w:spacing w:before="0" w:after="0" w:line="560" w:lineRule="exact"/>
        <w:ind w:right="0"/>
        <w:jc w:val="left"/>
        <w:textAlignment w:val="auto"/>
        <w:outlineLvl w:val="9"/>
        <w:rPr>
          <w:rFonts w:ascii="仿宋_GB2312" w:hAnsi="仿宋_GB2312" w:eastAsia="仿宋_GB2312" w:cs="仿宋_GB2312"/>
          <w:color w:val="auto"/>
          <w:sz w:val="32"/>
          <w:szCs w:val="32"/>
        </w:rPr>
      </w:pP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lang w:val="en-US" w:eastAsia="zh-CN"/>
        </w:rPr>
        <w:t>1.</w:t>
      </w:r>
      <w:r>
        <w:rPr>
          <w:rFonts w:hint="eastAsia" w:ascii="仿宋_GB2312" w:eastAsia="仿宋_GB2312"/>
          <w:snapToGrid w:val="0"/>
          <w:kern w:val="21"/>
          <w:sz w:val="32"/>
          <w:szCs w:val="32"/>
        </w:rPr>
        <w:t>协调、检查留置场所的安全保卫工作。</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w:t>
      </w: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2.</w:t>
      </w:r>
      <w:r>
        <w:rPr>
          <w:rFonts w:hint="eastAsia" w:ascii="仿宋_GB2312" w:eastAsia="仿宋_GB2312"/>
          <w:snapToGrid w:val="0"/>
          <w:kern w:val="21"/>
          <w:sz w:val="32"/>
          <w:szCs w:val="32"/>
        </w:rPr>
        <w:t>协调、检查留置场所医务室医疗保障工作。</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3.</w:t>
      </w:r>
      <w:r>
        <w:rPr>
          <w:rFonts w:hint="eastAsia" w:ascii="仿宋_GB2312" w:eastAsia="仿宋_GB2312"/>
          <w:snapToGrid w:val="0"/>
          <w:kern w:val="21"/>
          <w:sz w:val="32"/>
          <w:szCs w:val="32"/>
        </w:rPr>
        <w:t>协助办理留置对象相关交接手续。</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bookmarkStart w:id="0" w:name="_GoBack"/>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4.</w:t>
      </w:r>
      <w:r>
        <w:rPr>
          <w:rFonts w:hint="eastAsia" w:ascii="仿宋_GB2312" w:eastAsia="仿宋_GB2312"/>
          <w:snapToGrid w:val="0"/>
          <w:kern w:val="21"/>
          <w:sz w:val="32"/>
          <w:szCs w:val="32"/>
        </w:rPr>
        <w:t>保障留置场所的日常生活保障。</w:t>
      </w:r>
    </w:p>
    <w:bookmarkEnd w:id="0"/>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5.</w:t>
      </w:r>
      <w:r>
        <w:rPr>
          <w:rFonts w:hint="eastAsia" w:ascii="仿宋_GB2312" w:eastAsia="仿宋_GB2312"/>
          <w:snapToGrid w:val="0"/>
          <w:kern w:val="21"/>
          <w:sz w:val="32"/>
          <w:szCs w:val="32"/>
        </w:rPr>
        <w:t>管理、维护留置场所的设施设备，确保设施设备正常、安全运行。</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6.</w:t>
      </w:r>
      <w:r>
        <w:rPr>
          <w:rFonts w:hint="eastAsia" w:ascii="仿宋_GB2312" w:eastAsia="仿宋_GB2312"/>
          <w:snapToGrid w:val="0"/>
          <w:kern w:val="21"/>
          <w:sz w:val="32"/>
          <w:szCs w:val="32"/>
        </w:rPr>
        <w:t>制作、保存同步录音录像资料。</w:t>
      </w:r>
    </w:p>
    <w:p>
      <w:pPr>
        <w:wordWrap/>
        <w:adjustRightInd/>
        <w:snapToGrid/>
        <w:spacing w:before="0" w:after="0" w:line="560" w:lineRule="exact"/>
        <w:ind w:right="0" w:firstLine="640" w:firstLineChars="200"/>
        <w:textAlignment w:val="auto"/>
        <w:outlineLvl w:val="9"/>
        <w:rPr>
          <w:rFonts w:hint="eastAsia" w:ascii="仿宋_GB2312" w:eastAsia="仿宋_GB2312"/>
          <w:snapToGrid w:val="0"/>
          <w:kern w:val="21"/>
          <w:sz w:val="32"/>
          <w:szCs w:val="32"/>
          <w:lang w:eastAsia="zh-CN"/>
        </w:rPr>
      </w:pPr>
      <w:r>
        <w:rPr>
          <w:rFonts w:hint="eastAsia" w:ascii="仿宋_GB2312" w:eastAsia="仿宋_GB2312"/>
          <w:snapToGrid w:val="0"/>
          <w:kern w:val="21"/>
          <w:sz w:val="32"/>
          <w:szCs w:val="32"/>
          <w:lang w:val="en-US" w:eastAsia="zh-CN"/>
        </w:rPr>
        <w:t>7.</w:t>
      </w:r>
      <w:r>
        <w:rPr>
          <w:rFonts w:hint="eastAsia" w:ascii="仿宋_GB2312" w:eastAsia="仿宋_GB2312"/>
          <w:snapToGrid w:val="0"/>
          <w:kern w:val="21"/>
          <w:sz w:val="32"/>
          <w:szCs w:val="32"/>
        </w:rPr>
        <w:t>管理留置场所的服务人员</w:t>
      </w:r>
      <w:r>
        <w:rPr>
          <w:rFonts w:hint="eastAsia" w:ascii="仿宋_GB2312" w:eastAsia="仿宋_GB2312"/>
          <w:snapToGrid w:val="0"/>
          <w:kern w:val="21"/>
          <w:sz w:val="32"/>
          <w:szCs w:val="32"/>
          <w:lang w:eastAsia="zh-CN"/>
        </w:rPr>
        <w:t>。</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8.</w:t>
      </w:r>
      <w:r>
        <w:rPr>
          <w:rFonts w:hint="eastAsia" w:ascii="仿宋_GB2312" w:eastAsia="仿宋_GB2312"/>
          <w:snapToGrid w:val="0"/>
          <w:kern w:val="21"/>
          <w:sz w:val="32"/>
          <w:szCs w:val="32"/>
        </w:rPr>
        <w:t>应急处置突发事件。</w:t>
      </w:r>
    </w:p>
    <w:p>
      <w:pPr>
        <w:wordWrap/>
        <w:adjustRightInd/>
        <w:snapToGrid/>
        <w:spacing w:before="0" w:after="0" w:line="560" w:lineRule="exact"/>
        <w:ind w:right="0"/>
        <w:textAlignment w:val="auto"/>
        <w:outlineLvl w:val="9"/>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w:t>
      </w: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9.</w:t>
      </w:r>
      <w:r>
        <w:rPr>
          <w:rFonts w:hint="eastAsia" w:ascii="仿宋_GB2312" w:eastAsia="仿宋_GB2312"/>
          <w:snapToGrid w:val="0"/>
          <w:kern w:val="21"/>
          <w:sz w:val="32"/>
          <w:szCs w:val="32"/>
        </w:rPr>
        <w:t>负责</w:t>
      </w:r>
      <w:r>
        <w:rPr>
          <w:rFonts w:hint="eastAsia" w:ascii="仿宋_GB2312" w:eastAsia="仿宋_GB2312"/>
          <w:snapToGrid w:val="0"/>
          <w:kern w:val="21"/>
          <w:sz w:val="32"/>
          <w:szCs w:val="32"/>
          <w:lang w:eastAsia="zh-CN"/>
        </w:rPr>
        <w:t>场所</w:t>
      </w:r>
      <w:r>
        <w:rPr>
          <w:rFonts w:hint="eastAsia" w:ascii="仿宋_GB2312" w:eastAsia="仿宋_GB2312"/>
          <w:snapToGrid w:val="0"/>
          <w:kern w:val="21"/>
          <w:sz w:val="32"/>
          <w:szCs w:val="32"/>
        </w:rPr>
        <w:t>日常管理和后勤保障工作;指导各区谈话场所的建设和管理工作。</w:t>
      </w:r>
    </w:p>
    <w:p>
      <w:pPr>
        <w:wordWrap/>
        <w:adjustRightInd/>
        <w:snapToGrid/>
        <w:spacing w:before="0" w:after="0" w:line="560" w:lineRule="exact"/>
        <w:ind w:right="0"/>
        <w:textAlignment w:val="auto"/>
        <w:outlineLvl w:val="9"/>
        <w:rPr>
          <w:rFonts w:hint="eastAsia" w:ascii="仿宋_GB2312" w:hAnsi="仿宋_GB2312" w:eastAsia="仿宋_GB2312" w:cs="仿宋_GB2312"/>
          <w:sz w:val="32"/>
          <w:szCs w:val="32"/>
        </w:rPr>
      </w:pPr>
      <w:r>
        <w:rPr>
          <w:rFonts w:hint="eastAsia" w:ascii="仿宋_GB2312" w:eastAsia="仿宋_GB2312"/>
          <w:snapToGrid w:val="0"/>
          <w:kern w:val="21"/>
          <w:sz w:val="32"/>
          <w:szCs w:val="32"/>
        </w:rPr>
        <w:t xml:space="preserve">   </w:t>
      </w:r>
      <w:r>
        <w:rPr>
          <w:rFonts w:hint="eastAsia" w:ascii="仿宋_GB2312" w:eastAsia="仿宋_GB2312"/>
          <w:snapToGrid w:val="0"/>
          <w:kern w:val="21"/>
          <w:sz w:val="32"/>
          <w:szCs w:val="32"/>
          <w:lang w:val="en-US" w:eastAsia="zh-CN"/>
        </w:rPr>
        <w:t xml:space="preserve"> 10.</w:t>
      </w:r>
      <w:r>
        <w:rPr>
          <w:rFonts w:hint="eastAsia" w:ascii="仿宋_GB2312" w:eastAsia="仿宋_GB2312"/>
          <w:snapToGrid w:val="0"/>
          <w:kern w:val="21"/>
          <w:sz w:val="32"/>
          <w:szCs w:val="32"/>
        </w:rPr>
        <w:t>监督审查调查场所管理服务机构（管理人员）职责范围内的其他工作。</w:t>
      </w: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lang w:eastAsia="zh-CN"/>
        </w:rPr>
        <w:t>机构设置</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 xml:space="preserve"> 海口市纪委监委综合服务保障中心内设3个科室：1、办公室；2、保障科；3、技术科。</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p>
    <w:p>
      <w:pPr>
        <w:wordWrap/>
        <w:adjustRightInd/>
        <w:snapToGrid/>
        <w:spacing w:before="0" w:after="0" w:line="560" w:lineRule="exact"/>
        <w:ind w:right="0"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预算表</w:t>
      </w:r>
    </w:p>
    <w:p>
      <w:pPr>
        <w:wordWrap/>
        <w:adjustRightInd/>
        <w:snapToGrid/>
        <w:spacing w:before="0" w:after="0" w:line="560" w:lineRule="exact"/>
        <w:ind w:left="800" w:right="0"/>
        <w:jc w:val="left"/>
        <w:textAlignment w:val="auto"/>
        <w:outlineLvl w:val="9"/>
        <w:rPr>
          <w:rFonts w:ascii="黑体" w:hAnsi="黑体" w:eastAsia="黑体"/>
          <w:color w:val="auto"/>
          <w:sz w:val="32"/>
          <w:szCs w:val="32"/>
        </w:rPr>
      </w:pPr>
    </w:p>
    <w:p>
      <w:pPr>
        <w:wordWrap/>
        <w:adjustRightInd/>
        <w:snapToGrid/>
        <w:spacing w:before="0" w:after="0" w:line="560" w:lineRule="exact"/>
        <w:ind w:left="800" w:right="0"/>
        <w:jc w:val="center"/>
        <w:textAlignment w:val="auto"/>
        <w:outlineLvl w:val="9"/>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（此部分内容即为部门或单位预算公开表）</w:t>
      </w:r>
    </w:p>
    <w:p>
      <w:pPr>
        <w:wordWrap/>
        <w:adjustRightInd/>
        <w:snapToGrid/>
        <w:spacing w:before="0" w:after="0" w:line="560" w:lineRule="exact"/>
        <w:ind w:right="0"/>
        <w:textAlignment w:val="auto"/>
        <w:outlineLvl w:val="9"/>
        <w:rPr>
          <w:rFonts w:ascii="黑体" w:hAnsi="黑体" w:eastAsia="黑体"/>
          <w:color w:val="auto"/>
          <w:sz w:val="32"/>
          <w:szCs w:val="32"/>
        </w:rPr>
      </w:pPr>
    </w:p>
    <w:p>
      <w:pPr>
        <w:wordWrap/>
        <w:adjustRightInd/>
        <w:snapToGrid/>
        <w:spacing w:before="0" w:after="0" w:line="560" w:lineRule="exact"/>
        <w:ind w:right="0" w:firstLine="480" w:firstLineChars="15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预算情况说明</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firstLine="640" w:firstLineChars="20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于海口市纪委监委综合服务保障中心</w:t>
      </w:r>
      <w:r>
        <w:rPr>
          <w:rFonts w:hint="eastAsia" w:ascii="黑体" w:hAnsi="黑体" w:eastAsia="黑体"/>
          <w:color w:val="auto"/>
          <w:sz w:val="32"/>
          <w:szCs w:val="32"/>
          <w:lang w:val="en-US" w:eastAsia="zh-CN"/>
        </w:rPr>
        <w:t>2024年</w:t>
      </w:r>
      <w:r>
        <w:rPr>
          <w:rFonts w:hint="eastAsia" w:ascii="黑体" w:hAnsi="黑体" w:eastAsia="黑体"/>
          <w:color w:val="auto"/>
          <w:sz w:val="32"/>
          <w:szCs w:val="32"/>
        </w:rPr>
        <w:t>财政拨款收支预算情况的总体说明</w:t>
      </w:r>
    </w:p>
    <w:p>
      <w:pPr>
        <w:wordWrap/>
        <w:adjustRightInd/>
        <w:snapToGrid/>
        <w:spacing w:before="0" w:after="0" w:line="560" w:lineRule="exact"/>
        <w:ind w:right="0" w:firstLine="640" w:firstLineChars="200"/>
        <w:jc w:val="left"/>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海口市纪委监委综合服务保障中心</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3,761.25</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3,761.25万</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3,761.25</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3,761.25</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3,698.08</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27.00万元、卫生健康支出21.09万元、住房保障支出15.07万元</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wordWrap/>
        <w:adjustRightInd/>
        <w:snapToGrid/>
        <w:spacing w:before="0" w:after="0" w:line="560" w:lineRule="exact"/>
        <w:ind w:right="0" w:firstLine="64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海口市纪委监委综合服务保障中心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年一般公共预算当年拨款情况说明</w:t>
      </w:r>
    </w:p>
    <w:p>
      <w:pPr>
        <w:wordWrap/>
        <w:adjustRightInd/>
        <w:snapToGrid/>
        <w:spacing w:before="0" w:after="0" w:line="560" w:lineRule="exact"/>
        <w:ind w:right="0"/>
        <w:jc w:val="left"/>
        <w:textAlignment w:val="auto"/>
        <w:outlineLvl w:val="9"/>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3,761.25</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480.09</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上年度</w:t>
      </w:r>
      <w:r>
        <w:rPr>
          <w:rFonts w:hint="eastAsia" w:ascii="仿宋_GB2312" w:hAnsi="宋体" w:eastAsia="仿宋_GB2312" w:cs="宋体"/>
          <w:color w:val="auto"/>
          <w:kern w:val="0"/>
          <w:sz w:val="32"/>
          <w:szCs w:val="30"/>
          <w:lang w:eastAsia="zh-CN"/>
        </w:rPr>
        <w:t>实有资金账户金额结余并编入</w:t>
      </w:r>
      <w:r>
        <w:rPr>
          <w:rFonts w:hint="eastAsia" w:ascii="仿宋_GB2312" w:hAnsi="宋体" w:eastAsia="仿宋_GB2312" w:cs="宋体"/>
          <w:color w:val="auto"/>
          <w:kern w:val="0"/>
          <w:sz w:val="32"/>
          <w:szCs w:val="30"/>
          <w:lang w:val="en-US" w:eastAsia="zh-CN"/>
        </w:rPr>
        <w:t>2024年预算内，所以财政拨款相应减少</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3,698.08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98.32</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27万元，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0.71</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卫生健康支出21.09万元，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0.57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住房保障支出15.07万元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0.4%</w:t>
      </w:r>
      <w:r>
        <w:rPr>
          <w:rFonts w:hint="eastAsia" w:ascii="仿宋_GB2312" w:hAnsi="黑体" w:eastAsia="仿宋_GB2312"/>
          <w:color w:val="auto"/>
          <w:sz w:val="32"/>
          <w:szCs w:val="32"/>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178.08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33.2</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宋体" w:eastAsia="仿宋_GB2312" w:cs="宋体"/>
          <w:color w:val="auto"/>
          <w:kern w:val="0"/>
          <w:sz w:val="32"/>
          <w:szCs w:val="30"/>
          <w:lang w:val="en-US" w:eastAsia="zh-CN"/>
        </w:rPr>
        <w:t>2023年</w:t>
      </w:r>
      <w:r>
        <w:rPr>
          <w:rFonts w:hint="eastAsia" w:ascii="仿宋_GB2312" w:hAnsi="黑体" w:eastAsia="仿宋_GB2312"/>
          <w:color w:val="auto"/>
          <w:sz w:val="32"/>
          <w:szCs w:val="32"/>
        </w:rPr>
        <w:t>预算数</w:t>
      </w:r>
      <w:r>
        <w:rPr>
          <w:rFonts w:hint="eastAsia" w:ascii="仿宋_GB2312" w:hAnsi="黑体" w:eastAsia="仿宋_GB2312"/>
          <w:color w:val="auto"/>
          <w:sz w:val="32"/>
          <w:szCs w:val="32"/>
          <w:lang w:val="en-US" w:eastAsia="zh-CN"/>
        </w:rPr>
        <w:t>3,520.00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522万元</w:t>
      </w:r>
      <w:r>
        <w:rPr>
          <w:rFonts w:hint="eastAsia" w:ascii="仿宋_GB2312" w:hAnsi="黑体" w:eastAsia="仿宋_GB2312"/>
          <w:color w:val="auto"/>
          <w:sz w:val="32"/>
          <w:szCs w:val="32"/>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上年度</w:t>
      </w:r>
      <w:r>
        <w:rPr>
          <w:rFonts w:hint="eastAsia" w:ascii="仿宋_GB2312" w:hAnsi="宋体" w:eastAsia="仿宋_GB2312" w:cs="宋体"/>
          <w:color w:val="auto"/>
          <w:kern w:val="0"/>
          <w:sz w:val="32"/>
          <w:szCs w:val="30"/>
          <w:lang w:eastAsia="zh-CN"/>
        </w:rPr>
        <w:t>实有资金账户金额结余并编入</w:t>
      </w:r>
      <w:r>
        <w:rPr>
          <w:rFonts w:hint="eastAsia" w:ascii="仿宋_GB2312" w:hAnsi="宋体" w:eastAsia="仿宋_GB2312" w:cs="宋体"/>
          <w:color w:val="auto"/>
          <w:kern w:val="0"/>
          <w:sz w:val="32"/>
          <w:szCs w:val="30"/>
          <w:lang w:val="en-US" w:eastAsia="zh-CN"/>
        </w:rPr>
        <w:t>2024年预算内，所以财政拨款相应减少</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olor w:val="auto"/>
          <w:sz w:val="32"/>
          <w:szCs w:val="32"/>
          <w:lang w:val="en-US" w:eastAsia="zh-CN"/>
        </w:rPr>
        <w:t xml:space="preserve"> 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18.00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2.33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 xml:space="preserve"> 4</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万元，</w:t>
      </w:r>
      <w:r>
        <w:rPr>
          <w:rFonts w:hint="eastAsia" w:ascii="仿宋_GB2312" w:hAnsi="宋体" w:eastAsia="仿宋_GB2312" w:cs="仿宋_GB2312"/>
          <w:sz w:val="32"/>
          <w:szCs w:val="32"/>
          <w:lang w:eastAsia="zh-CN"/>
        </w:rPr>
        <w:t>比</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1.16万元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 xml:space="preserve"> 5</w:t>
      </w:r>
      <w:r>
        <w:rPr>
          <w:rFonts w:hint="eastAsia" w:ascii="仿宋_GB2312" w:hAnsi="宋体" w:eastAsia="仿宋_GB2312" w:cs="宋体"/>
          <w:color w:val="auto"/>
          <w:kern w:val="0"/>
          <w:sz w:val="32"/>
          <w:szCs w:val="30"/>
        </w:rPr>
        <w:t>.卫生健康（类）行政事业单位医疗（款）事业单位医疗医疗（项）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6.54</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 xml:space="preserve"> 6</w:t>
      </w:r>
      <w:r>
        <w:rPr>
          <w:rFonts w:hint="eastAsia" w:ascii="仿宋_GB2312" w:hAnsi="宋体" w:eastAsia="仿宋_GB2312" w:cs="宋体"/>
          <w:color w:val="auto"/>
          <w:kern w:val="0"/>
          <w:sz w:val="32"/>
          <w:szCs w:val="30"/>
        </w:rPr>
        <w:t>.卫生健康（类）行政事业单位医疗（款）</w:t>
      </w:r>
      <w:r>
        <w:rPr>
          <w:rFonts w:hint="eastAsia" w:ascii="仿宋_GB2312" w:hAnsi="宋体" w:eastAsia="仿宋_GB2312" w:cs="宋体"/>
          <w:color w:val="auto"/>
          <w:kern w:val="0"/>
          <w:sz w:val="32"/>
          <w:szCs w:val="30"/>
          <w:lang w:eastAsia="zh-CN"/>
        </w:rPr>
        <w:t>事业单位医疗</w:t>
      </w:r>
      <w:r>
        <w:rPr>
          <w:rFonts w:hint="eastAsia" w:ascii="仿宋_GB2312" w:hAnsi="宋体" w:eastAsia="仿宋_GB2312" w:cs="宋体"/>
          <w:color w:val="auto"/>
          <w:kern w:val="0"/>
          <w:sz w:val="32"/>
          <w:szCs w:val="30"/>
        </w:rPr>
        <w:t>（项）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14.56</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3.15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lang w:val="en-US" w:eastAsia="zh-CN"/>
        </w:rPr>
        <w:t xml:space="preserve"> 7</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15.07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2.06</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textAlignment w:val="auto"/>
        <w:outlineLvl w:val="9"/>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zCs w:val="32"/>
        </w:rPr>
        <w:t>年一般公共预算基本支出情况说明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241.25</w:t>
      </w:r>
      <w:r>
        <w:rPr>
          <w:rFonts w:hint="eastAsia" w:ascii="仿宋_GB2312" w:hAnsi="黑体" w:eastAsia="仿宋_GB2312"/>
          <w:color w:val="auto"/>
          <w:sz w:val="32"/>
          <w:szCs w:val="32"/>
        </w:rPr>
        <w:t>万元，其中：</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198.94</w:t>
      </w:r>
      <w:r>
        <w:rPr>
          <w:rFonts w:hint="eastAsia" w:ascii="仿宋_GB2312" w:hAnsi="黑体" w:eastAsia="仿宋_GB2312"/>
          <w:color w:val="auto"/>
          <w:sz w:val="32"/>
          <w:szCs w:val="32"/>
        </w:rPr>
        <w:t>万元，主要包括：基本工资、津贴补贴、奖金、社会保障缴费、其他工资福利支出、对个人和家庭的补助等</w:t>
      </w:r>
      <w:r>
        <w:rPr>
          <w:rFonts w:ascii="仿宋_GB2312" w:hAnsi="黑体" w:eastAsia="仿宋_GB2312"/>
          <w:color w:val="auto"/>
          <w:sz w:val="32"/>
          <w:szCs w:val="32"/>
        </w:rPr>
        <w:t>;</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42.31</w:t>
      </w:r>
      <w:r>
        <w:rPr>
          <w:rFonts w:hint="eastAsia" w:ascii="仿宋_GB2312" w:hAnsi="黑体" w:eastAsia="仿宋_GB2312"/>
          <w:color w:val="auto"/>
          <w:sz w:val="32"/>
          <w:szCs w:val="32"/>
        </w:rPr>
        <w:t>万元，主要包括：办公费、咨询费、手续费、水费、电费、</w:t>
      </w:r>
      <w:r>
        <w:rPr>
          <w:rFonts w:hint="eastAsia" w:ascii="仿宋_GB2312" w:hAnsi="宋体" w:eastAsia="仿宋_GB2312"/>
          <w:color w:val="auto"/>
          <w:sz w:val="32"/>
          <w:szCs w:val="32"/>
        </w:rPr>
        <w:t>邮电费、差旅费、培训费、维修（护）、会议费、工会经费、福利费、公务车运行维护费、其他交通费用等。</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年“三公”经费预算情况说明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olor w:val="auto"/>
          <w:sz w:val="32"/>
          <w:szCs w:val="32"/>
        </w:rPr>
      </w:pPr>
      <w:r>
        <w:rPr>
          <w:rFonts w:hint="eastAsia" w:ascii="仿宋_GB2312" w:hAnsi="黑体" w:eastAsia="仿宋_GB2312"/>
          <w:color w:val="auto"/>
          <w:sz w:val="32"/>
          <w:szCs w:val="32"/>
        </w:rPr>
        <w:t>（一）</w:t>
      </w:r>
      <w:r>
        <w:rPr>
          <w:rFonts w:hint="eastAsia" w:ascii="仿宋_GB2312" w:hAnsi="宋体" w:eastAsia="仿宋_GB2312"/>
          <w:color w:val="auto"/>
          <w:sz w:val="32"/>
          <w:szCs w:val="32"/>
          <w:lang w:eastAsia="zh-CN"/>
        </w:rPr>
        <w:t>海口市纪委监委综合服务保障中心</w:t>
      </w: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年一般公共预算“三公”经费预算数为</w:t>
      </w:r>
      <w:r>
        <w:rPr>
          <w:rFonts w:hint="eastAsia" w:ascii="仿宋_GB2312" w:hAnsi="宋体" w:eastAsia="仿宋_GB2312"/>
          <w:color w:val="auto"/>
          <w:sz w:val="32"/>
          <w:szCs w:val="32"/>
          <w:lang w:val="en-US" w:eastAsia="zh-CN"/>
        </w:rPr>
        <w:t>55.95</w:t>
      </w:r>
      <w:r>
        <w:rPr>
          <w:rFonts w:hint="eastAsia" w:ascii="仿宋_GB2312" w:hAnsi="宋体" w:eastAsia="仿宋_GB2312"/>
          <w:color w:val="auto"/>
          <w:sz w:val="32"/>
          <w:szCs w:val="32"/>
        </w:rPr>
        <w:t>万元，其中：</w:t>
      </w:r>
    </w:p>
    <w:p>
      <w:pPr>
        <w:wordWrap/>
        <w:adjustRightInd/>
        <w:snapToGrid/>
        <w:spacing w:before="0" w:after="0" w:line="560" w:lineRule="exact"/>
        <w:ind w:right="0" w:firstLine="63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w:t>
      </w:r>
      <w:r>
        <w:rPr>
          <w:rFonts w:hint="eastAsia" w:ascii="仿宋_GB2312" w:hAnsi="仿宋_GB2312" w:eastAsia="仿宋_GB2312" w:cs="仿宋_GB2312"/>
          <w:sz w:val="32"/>
          <w:shd w:val="clear" w:color="auto" w:fill="FFFFFF"/>
        </w:rPr>
        <w:t>经</w:t>
      </w:r>
      <w:r>
        <w:rPr>
          <w:rFonts w:hint="eastAsia" w:ascii="仿宋_GB2312" w:hAnsi="仿宋_GB2312" w:eastAsia="仿宋_GB2312" w:cs="仿宋_GB2312"/>
          <w:sz w:val="32"/>
          <w:szCs w:val="32"/>
          <w:lang w:eastAsia="zh-CN"/>
        </w:rPr>
        <w:t>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hd w:val="clear" w:color="auto" w:fill="FFFFFF"/>
        </w:rPr>
        <w:t>，</w:t>
      </w:r>
      <w:r>
        <w:rPr>
          <w:rFonts w:hint="eastAsia" w:ascii="仿宋_GB2312" w:hAnsi="宋体" w:eastAsia="仿宋_GB2312"/>
          <w:color w:val="auto"/>
          <w:sz w:val="32"/>
          <w:szCs w:val="32"/>
        </w:rPr>
        <w:t>与上年预算持平</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hd w:val="clear" w:color="auto" w:fill="FFFFFF"/>
        </w:rPr>
        <w:t>年出国计划</w:t>
      </w:r>
      <w:r>
        <w:rPr>
          <w:rFonts w:hint="eastAsia" w:ascii="仿宋_GB2312" w:hAnsi="仿宋_GB2312" w:eastAsia="仿宋_GB2312" w:cs="仿宋_GB2312"/>
          <w:sz w:val="32"/>
          <w:shd w:val="clear" w:color="auto" w:fill="FFFFFF"/>
          <w:lang w:eastAsia="zh-CN"/>
        </w:rPr>
        <w:t>无</w:t>
      </w:r>
      <w:r>
        <w:rPr>
          <w:rFonts w:hint="eastAsia" w:ascii="仿宋_GB2312" w:hAnsi="仿宋_GB2312" w:eastAsia="仿宋_GB2312" w:cs="仿宋_GB2312"/>
          <w:sz w:val="32"/>
          <w:shd w:val="clear" w:color="auto" w:fill="FFFFFF"/>
        </w:rPr>
        <w:t>出国</w:t>
      </w:r>
      <w:r>
        <w:rPr>
          <w:rFonts w:hint="eastAsia" w:ascii="仿宋_GB2312" w:hAnsi="仿宋_GB2312" w:eastAsia="仿宋_GB2312" w:cs="仿宋_GB2312"/>
          <w:sz w:val="32"/>
          <w:shd w:val="clear" w:color="auto" w:fill="FFFFFF"/>
          <w:lang w:eastAsia="zh-CN"/>
        </w:rPr>
        <w:t>计划</w:t>
      </w:r>
      <w:r>
        <w:rPr>
          <w:rFonts w:hint="eastAsia" w:ascii="仿宋_GB2312" w:hAnsi="仿宋_GB2312" w:eastAsia="仿宋_GB2312" w:cs="仿宋_GB2312"/>
          <w:sz w:val="32"/>
          <w:shd w:val="clear" w:color="auto" w:fill="FFFFFF"/>
        </w:rPr>
        <w:t>；公务用车购置及运行费</w:t>
      </w:r>
      <w:r>
        <w:rPr>
          <w:rFonts w:hint="eastAsia" w:ascii="仿宋_GB2312" w:hAnsi="仿宋_GB2312" w:eastAsia="仿宋_GB2312" w:cs="仿宋_GB2312"/>
          <w:sz w:val="32"/>
          <w:szCs w:val="32"/>
          <w:lang w:val="en-US" w:eastAsia="zh-CN"/>
        </w:rPr>
        <w:t>55.95</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hd w:val="clear" w:color="auto" w:fill="FFFFFF"/>
        </w:rPr>
        <w:t>公务用车购置费</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，公务用车运行费</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eastAsia="zh-CN"/>
        </w:rPr>
        <w:t>比上年增加</w:t>
      </w:r>
      <w:r>
        <w:rPr>
          <w:rFonts w:hint="eastAsia" w:ascii="仿宋_GB2312" w:hAnsi="仿宋_GB2312" w:eastAsia="仿宋_GB2312" w:cs="仿宋_GB2312"/>
          <w:sz w:val="32"/>
          <w:shd w:val="clear" w:color="auto" w:fill="FFFFFF"/>
          <w:lang w:val="en-US" w:eastAsia="zh-CN"/>
        </w:rPr>
        <w:t>48.95万元，</w:t>
      </w:r>
      <w:r>
        <w:rPr>
          <w:rFonts w:hint="eastAsia" w:ascii="仿宋_GB2312" w:hAnsi="仿宋_GB2312" w:eastAsia="仿宋_GB2312" w:cs="仿宋_GB2312"/>
          <w:color w:val="auto"/>
          <w:sz w:val="32"/>
          <w:szCs w:val="32"/>
          <w:lang w:val="en-US" w:eastAsia="zh-CN"/>
        </w:rPr>
        <w:t>主要原因为2024年计划购置公务车2辆</w:t>
      </w:r>
      <w:r>
        <w:rPr>
          <w:rFonts w:hint="eastAsia" w:ascii="仿宋_GB2312" w:hAnsi="仿宋_GB2312" w:eastAsia="仿宋_GB2312" w:cs="仿宋_GB2312"/>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,2024年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wordWrap/>
        <w:adjustRightInd/>
        <w:snapToGrid/>
        <w:spacing w:before="0" w:after="0" w:line="560" w:lineRule="exact"/>
        <w:ind w:right="0"/>
        <w:textAlignment w:val="auto"/>
        <w:outlineLvl w:val="9"/>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宋体" w:eastAsia="仿宋_GB2312"/>
          <w:color w:val="auto"/>
          <w:sz w:val="32"/>
          <w:szCs w:val="32"/>
          <w:lang w:eastAsia="zh-CN"/>
        </w:rPr>
        <w:t>海口市纪委监委综合服务保障中心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r>
        <w:rPr>
          <w:rFonts w:hint="eastAsia" w:ascii="仿宋_GB2312" w:hAnsi="黑体" w:eastAsia="仿宋_GB2312"/>
          <w:sz w:val="32"/>
          <w:szCs w:val="32"/>
        </w:rPr>
        <w:t>其中：</w:t>
      </w:r>
    </w:p>
    <w:p>
      <w:pPr>
        <w:wordWrap/>
        <w:adjustRightInd/>
        <w:snapToGrid/>
        <w:spacing w:before="0" w:after="0" w:line="560" w:lineRule="exact"/>
        <w:ind w:right="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年政府性基金预算当年拨款情况说明</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wordWrap/>
        <w:adjustRightInd/>
        <w:snapToGrid/>
        <w:spacing w:before="0" w:after="0" w:line="560" w:lineRule="exact"/>
        <w:ind w:right="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六、</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年收支预算情况的总体说明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w:t>
      </w:r>
      <w:r>
        <w:rPr>
          <w:rFonts w:hint="eastAsia" w:ascii="仿宋_GB2312" w:hAnsi="黑体" w:eastAsia="仿宋_GB2312" w:cs="仿宋_GB2312"/>
          <w:color w:val="auto"/>
          <w:sz w:val="32"/>
          <w:szCs w:val="32"/>
          <w:lang w:eastAsia="zh-CN"/>
        </w:rPr>
        <w:t>海口市纪委监委综合服务保障中心</w:t>
      </w:r>
      <w:r>
        <w:rPr>
          <w:rFonts w:hint="eastAsia" w:ascii="仿宋_GB2312" w:hAnsi="黑体" w:eastAsia="仿宋_GB2312" w:cs="仿宋_GB2312"/>
          <w:color w:val="auto"/>
          <w:sz w:val="32"/>
          <w:szCs w:val="32"/>
        </w:rPr>
        <w:t>所有收入和支出均纳入部门预算管理。收入包括：一般公共预算收入、政府性基金收入、其他财政资金收入、事业收入</w:t>
      </w:r>
      <w:r>
        <w:rPr>
          <w:rFonts w:hint="eastAsia" w:ascii="仿宋_GB2312" w:hAnsi="黑体" w:eastAsia="仿宋_GB2312"/>
          <w:color w:val="auto"/>
          <w:sz w:val="32"/>
          <w:szCs w:val="32"/>
        </w:rPr>
        <w:t>；支出包括：一般公共服务支出、外交支出、国防支出、公共安全支出、教育支出。</w:t>
      </w: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年收支总预算</w:t>
      </w:r>
      <w:r>
        <w:rPr>
          <w:rFonts w:hint="eastAsia" w:ascii="仿宋_GB2312" w:hAnsi="黑体" w:eastAsia="仿宋_GB2312"/>
          <w:color w:val="auto"/>
          <w:sz w:val="32"/>
          <w:szCs w:val="32"/>
          <w:lang w:val="en-US" w:eastAsia="zh-CN"/>
        </w:rPr>
        <w:t>4,561.25</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年收入预算情况说明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年收入预算</w:t>
      </w:r>
      <w:r>
        <w:rPr>
          <w:rFonts w:hint="eastAsia" w:ascii="仿宋_GB2312" w:hAnsi="黑体" w:eastAsia="仿宋_GB2312"/>
          <w:color w:val="auto"/>
          <w:sz w:val="32"/>
          <w:szCs w:val="32"/>
          <w:lang w:val="en-US" w:eastAsia="zh-CN"/>
        </w:rPr>
        <w:t>4,561.25</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经费拨款</w:t>
      </w:r>
      <w:r>
        <w:rPr>
          <w:rFonts w:hint="eastAsia" w:ascii="仿宋_GB2312" w:hAnsi="黑体" w:eastAsia="仿宋_GB2312"/>
          <w:color w:val="auto"/>
          <w:sz w:val="32"/>
          <w:szCs w:val="32"/>
        </w:rPr>
        <w:t>收入</w:t>
      </w:r>
      <w:r>
        <w:rPr>
          <w:rFonts w:hint="eastAsia" w:ascii="仿宋_GB2312" w:hAnsi="黑体" w:eastAsia="仿宋_GB2312"/>
          <w:color w:val="auto"/>
          <w:sz w:val="32"/>
          <w:szCs w:val="32"/>
          <w:lang w:val="en-US" w:eastAsia="zh-CN"/>
        </w:rPr>
        <w:t>3,761.25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82.46</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%；其他收入</w:t>
      </w:r>
      <w:r>
        <w:rPr>
          <w:rFonts w:hint="eastAsia" w:ascii="仿宋_GB2312" w:hAnsi="黑体" w:eastAsia="仿宋_GB2312"/>
          <w:color w:val="auto"/>
          <w:sz w:val="32"/>
          <w:szCs w:val="32"/>
          <w:lang w:val="en-US" w:eastAsia="zh-CN"/>
        </w:rPr>
        <w:t>800万元，占17.54%；</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800万元</w:t>
      </w:r>
      <w:r>
        <w:rPr>
          <w:rFonts w:hint="eastAsia" w:ascii="仿宋_GB2312" w:hAnsi="黑体" w:eastAsia="仿宋_GB2312"/>
          <w:sz w:val="32"/>
          <w:szCs w:val="32"/>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上年度</w:t>
      </w:r>
      <w:r>
        <w:rPr>
          <w:rFonts w:hint="eastAsia" w:ascii="仿宋_GB2312" w:hAnsi="宋体" w:eastAsia="仿宋_GB2312" w:cs="宋体"/>
          <w:color w:val="auto"/>
          <w:kern w:val="0"/>
          <w:sz w:val="32"/>
          <w:szCs w:val="30"/>
          <w:lang w:eastAsia="zh-CN"/>
        </w:rPr>
        <w:t>实有资金账户金额结余并编入</w:t>
      </w:r>
      <w:r>
        <w:rPr>
          <w:rFonts w:hint="eastAsia" w:ascii="仿宋_GB2312" w:hAnsi="宋体" w:eastAsia="仿宋_GB2312" w:cs="宋体"/>
          <w:color w:val="auto"/>
          <w:kern w:val="0"/>
          <w:sz w:val="32"/>
          <w:szCs w:val="30"/>
          <w:lang w:val="en-US" w:eastAsia="zh-CN"/>
        </w:rPr>
        <w:t>2024年预算内</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八、</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海口市纪委监委综合服务保障中心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年支出预算情况说明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eastAsia="zh-CN"/>
        </w:rPr>
        <w:t>支出</w:t>
      </w:r>
      <w:r>
        <w:rPr>
          <w:rFonts w:hint="eastAsia" w:ascii="仿宋_GB2312" w:hAnsi="黑体" w:eastAsia="仿宋_GB2312"/>
          <w:color w:val="auto"/>
          <w:sz w:val="32"/>
          <w:szCs w:val="32"/>
        </w:rPr>
        <w:t>预算</w:t>
      </w:r>
      <w:r>
        <w:rPr>
          <w:rFonts w:hint="eastAsia" w:ascii="仿宋_GB2312" w:hAnsi="黑体" w:eastAsia="仿宋_GB2312"/>
          <w:color w:val="auto"/>
          <w:sz w:val="32"/>
          <w:szCs w:val="32"/>
          <w:lang w:val="en-US" w:eastAsia="zh-CN"/>
        </w:rPr>
        <w:t>4,561.25</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241.25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5.29</w:t>
      </w:r>
      <w:r>
        <w:rPr>
          <w:rFonts w:ascii="仿宋_GB2312" w:hAnsi="黑体" w:eastAsia="仿宋_GB2312"/>
          <w:color w:val="auto"/>
          <w:sz w:val="32"/>
          <w:szCs w:val="32"/>
        </w:rPr>
        <w:t>%</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4320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94.71</w:t>
      </w:r>
      <w:r>
        <w:rPr>
          <w:rFonts w:ascii="仿宋_GB2312" w:hAnsi="黑体" w:eastAsia="仿宋_GB2312"/>
          <w:color w:val="auto"/>
          <w:sz w:val="32"/>
          <w:szCs w:val="32"/>
        </w:rPr>
        <w:t>%</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319.95万元</w:t>
      </w:r>
      <w:r>
        <w:rPr>
          <w:rFonts w:hint="eastAsia" w:ascii="仿宋_GB2312" w:hAnsi="黑体" w:eastAsia="仿宋_GB2312"/>
          <w:sz w:val="32"/>
          <w:szCs w:val="32"/>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上年度</w:t>
      </w:r>
      <w:r>
        <w:rPr>
          <w:rFonts w:hint="eastAsia" w:ascii="仿宋_GB2312" w:hAnsi="宋体" w:eastAsia="仿宋_GB2312" w:cs="宋体"/>
          <w:color w:val="auto"/>
          <w:kern w:val="0"/>
          <w:sz w:val="32"/>
          <w:szCs w:val="30"/>
          <w:lang w:eastAsia="zh-CN"/>
        </w:rPr>
        <w:t>实有资金账户金额结余并编入</w:t>
      </w:r>
      <w:r>
        <w:rPr>
          <w:rFonts w:hint="eastAsia" w:ascii="仿宋_GB2312" w:hAnsi="宋体" w:eastAsia="仿宋_GB2312" w:cs="宋体"/>
          <w:color w:val="auto"/>
          <w:kern w:val="0"/>
          <w:sz w:val="32"/>
          <w:szCs w:val="30"/>
          <w:lang w:val="en-US" w:eastAsia="zh-CN"/>
        </w:rPr>
        <w:t>2024年预算内</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海口市纪委监委综合服务保障中心无</w:t>
      </w:r>
      <w:r>
        <w:rPr>
          <w:rFonts w:hint="eastAsia" w:ascii="仿宋_GB2312" w:hAnsi="宋体" w:eastAsia="仿宋_GB2312" w:cs="仿宋_GB2312"/>
          <w:color w:val="auto"/>
          <w:sz w:val="32"/>
          <w:szCs w:val="32"/>
        </w:rPr>
        <w:t>机关运行经费预算。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（二）政府采购情况</w:t>
      </w:r>
    </w:p>
    <w:p>
      <w:pPr>
        <w:wordWrap/>
        <w:adjustRightInd/>
        <w:snapToGrid/>
        <w:spacing w:before="0" w:after="0" w:line="560" w:lineRule="exact"/>
        <w:ind w:right="0" w:firstLine="64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海口市纪委监委综合服务保障中心</w:t>
      </w:r>
      <w:r>
        <w:rPr>
          <w:rFonts w:hint="eastAsia" w:ascii="仿宋_GB2312" w:hAnsi="黑体" w:eastAsia="仿宋_GB2312" w:cs="仿宋_GB2312"/>
          <w:color w:val="auto"/>
          <w:sz w:val="32"/>
          <w:szCs w:val="32"/>
        </w:rPr>
        <w:t>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（三）国有资产占有使用情况</w:t>
      </w:r>
    </w:p>
    <w:p>
      <w:pPr>
        <w:wordWrap/>
        <w:adjustRightInd/>
        <w:snapToGrid/>
        <w:spacing w:before="0" w:after="0" w:line="560" w:lineRule="exact"/>
        <w:ind w:right="0" w:firstLine="640" w:firstLineChars="200"/>
        <w:textAlignment w:val="auto"/>
        <w:outlineLvl w:val="9"/>
        <w:rPr>
          <w:rFonts w:ascii="仿宋_GB2312" w:hAnsi="黑体" w:eastAsia="仿宋_GB2312" w:cs="仿宋_GB2312"/>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lang w:eastAsia="zh-CN"/>
        </w:rPr>
        <w:t>海口市纪委监委综合服务保障中心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（四）绩效目标设置情况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海口市纪委监委综合服务保障中心</w:t>
      </w:r>
      <w:r>
        <w:rPr>
          <w:rFonts w:hint="eastAsia" w:ascii="仿宋_GB2312" w:hAnsi="黑体" w:eastAsia="仿宋_GB2312" w:cs="仿宋_GB2312"/>
          <w:color w:val="auto"/>
          <w:sz w:val="32"/>
          <w:szCs w:val="32"/>
          <w:lang w:val="en-US" w:eastAsia="zh-CN"/>
        </w:rPr>
        <w:t>12</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3761.25</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仿宋_GB2312" w:hAnsi="宋体" w:eastAsia="仿宋_GB2312" w:cs="宋体"/>
          <w:color w:val="auto"/>
          <w:kern w:val="0"/>
          <w:sz w:val="32"/>
          <w:szCs w:val="30"/>
        </w:rPr>
      </w:pPr>
    </w:p>
    <w:p>
      <w:pPr>
        <w:wordWrap/>
        <w:adjustRightInd/>
        <w:snapToGrid/>
        <w:spacing w:before="0" w:after="0" w:line="560" w:lineRule="exact"/>
        <w:ind w:right="0"/>
        <w:jc w:val="center"/>
        <w:textAlignment w:val="auto"/>
        <w:outlineLvl w:val="9"/>
        <w:rPr>
          <w:rFonts w:ascii="黑体" w:hAnsi="黑体" w:eastAsia="黑体"/>
          <w:b/>
          <w:color w:val="auto"/>
          <w:sz w:val="32"/>
          <w:szCs w:val="32"/>
        </w:rPr>
      </w:pPr>
      <w:r>
        <w:rPr>
          <w:rFonts w:hint="eastAsia" w:ascii="黑体" w:hAnsi="黑体" w:eastAsia="黑体"/>
          <w:b/>
          <w:color w:val="auto"/>
          <w:sz w:val="32"/>
          <w:szCs w:val="32"/>
        </w:rPr>
        <w:t>第四部分  名词解释</w:t>
      </w:r>
    </w:p>
    <w:p>
      <w:pPr>
        <w:wordWrap/>
        <w:adjustRightInd/>
        <w:snapToGrid/>
        <w:spacing w:before="0" w:after="0" w:line="560" w:lineRule="exact"/>
        <w:ind w:right="0" w:firstLine="640" w:firstLineChars="200"/>
        <w:jc w:val="left"/>
        <w:textAlignment w:val="auto"/>
        <w:outlineLvl w:val="9"/>
        <w:rPr>
          <w:rFonts w:ascii="仿宋_GB2312" w:eastAsia="仿宋_GB2312" w:cs="宋体"/>
          <w:bCs/>
          <w:color w:val="auto"/>
          <w:kern w:val="0"/>
          <w:sz w:val="32"/>
          <w:szCs w:val="32"/>
          <w:lang w:val="zh-CN"/>
        </w:rPr>
      </w:pP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color w:val="auto"/>
          <w:sz w:val="32"/>
          <w:szCs w:val="32"/>
        </w:rPr>
      </w:pPr>
    </w:p>
    <w:sectPr>
      <w:pgSz w:w="11906" w:h="16838"/>
      <w:pgMar w:top="1440" w:right="1757" w:bottom="1440" w:left="175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qFormat/>
    <w:uiPriority w:val="0"/>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pc-1</cp:lastModifiedBy>
  <cp:lastPrinted>2023-03-01T01:54:00Z</cp:lastPrinted>
  <dcterms:modified xsi:type="dcterms:W3CDTF">2024-02-07T08:21:28Z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